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358" w:rsidRDefault="00425358" w:rsidP="00425358">
      <w:pPr>
        <w:pStyle w:val="1"/>
        <w:rPr>
          <w:sz w:val="32"/>
          <w:szCs w:val="32"/>
        </w:rPr>
      </w:pPr>
      <w:bookmarkStart w:id="0" w:name="_GoBack"/>
      <w:bookmarkEnd w:id="0"/>
      <w:r w:rsidRPr="00425358">
        <w:rPr>
          <w:sz w:val="32"/>
          <w:szCs w:val="32"/>
        </w:rPr>
        <w:t xml:space="preserve">    П  Р  И  К  А  З</w:t>
      </w:r>
    </w:p>
    <w:p w:rsidR="00425358" w:rsidRPr="00425358" w:rsidRDefault="00425358" w:rsidP="00425358"/>
    <w:p w:rsidR="00425358" w:rsidRPr="00425358" w:rsidRDefault="00425358" w:rsidP="00425358">
      <w:pPr>
        <w:pStyle w:val="3"/>
        <w:ind w:firstLine="0"/>
        <w:jc w:val="center"/>
      </w:pPr>
      <w:r w:rsidRPr="00425358">
        <w:t>ФИНАНСОВО</w:t>
      </w:r>
      <w:r>
        <w:t>ГО УПРАВЛЕНИЯ</w:t>
      </w:r>
      <w:r w:rsidRPr="00425358">
        <w:t xml:space="preserve"> </w:t>
      </w:r>
    </w:p>
    <w:p w:rsidR="0098337D" w:rsidRPr="00EB4A56" w:rsidRDefault="007E00A8" w:rsidP="00425358">
      <w:pPr>
        <w:pStyle w:val="4"/>
        <w:rPr>
          <w:szCs w:val="28"/>
          <w:lang w:val="ru-RU"/>
        </w:rPr>
      </w:pPr>
      <w:r w:rsidRPr="00EB4A56">
        <w:rPr>
          <w:lang w:val="ru-RU"/>
        </w:rPr>
        <w:t>Ад</w:t>
      </w:r>
      <w:r w:rsidR="0098337D" w:rsidRPr="00EB4A56">
        <w:rPr>
          <w:lang w:val="ru-RU"/>
        </w:rPr>
        <w:t>министраци</w:t>
      </w:r>
      <w:r w:rsidR="00425358" w:rsidRPr="00EB4A56">
        <w:rPr>
          <w:lang w:val="ru-RU"/>
        </w:rPr>
        <w:t xml:space="preserve">и </w:t>
      </w:r>
      <w:r w:rsidR="00876843" w:rsidRPr="00EB4A56">
        <w:rPr>
          <w:lang w:val="ru-RU"/>
        </w:rPr>
        <w:t>Собинского муниципального округа</w:t>
      </w:r>
      <w:r w:rsidR="00425358" w:rsidRPr="00EB4A56">
        <w:rPr>
          <w:lang w:val="ru-RU"/>
        </w:rPr>
        <w:t xml:space="preserve"> </w:t>
      </w:r>
    </w:p>
    <w:p w:rsidR="00336A96" w:rsidRDefault="00336A96" w:rsidP="00425358">
      <w:pPr>
        <w:ind w:firstLine="709"/>
        <w:rPr>
          <w:sz w:val="28"/>
          <w:szCs w:val="28"/>
        </w:rPr>
      </w:pPr>
    </w:p>
    <w:p w:rsidR="00336A96" w:rsidRDefault="00336A96" w:rsidP="00425358">
      <w:pPr>
        <w:ind w:firstLine="709"/>
        <w:rPr>
          <w:sz w:val="28"/>
          <w:szCs w:val="28"/>
        </w:rPr>
      </w:pPr>
    </w:p>
    <w:p w:rsidR="00425358" w:rsidRDefault="00425358" w:rsidP="00425358">
      <w:pPr>
        <w:ind w:firstLine="709"/>
        <w:rPr>
          <w:sz w:val="28"/>
          <w:szCs w:val="28"/>
        </w:rPr>
      </w:pPr>
    </w:p>
    <w:p w:rsidR="00876843" w:rsidRPr="001A1549" w:rsidRDefault="009056C5" w:rsidP="00425358">
      <w:pPr>
        <w:rPr>
          <w:sz w:val="28"/>
          <w:szCs w:val="28"/>
          <w:lang w:val="en-US"/>
        </w:rPr>
      </w:pPr>
      <w:r>
        <w:rPr>
          <w:sz w:val="28"/>
          <w:szCs w:val="28"/>
        </w:rPr>
        <w:t>о</w:t>
      </w:r>
      <w:r w:rsidR="008A21CB">
        <w:rPr>
          <w:sz w:val="28"/>
          <w:szCs w:val="28"/>
        </w:rPr>
        <w:t>т</w:t>
      </w:r>
      <w:r w:rsidR="00FC4F91">
        <w:rPr>
          <w:sz w:val="28"/>
          <w:szCs w:val="28"/>
        </w:rPr>
        <w:t xml:space="preserve"> </w:t>
      </w:r>
      <w:r w:rsidR="00EB5429">
        <w:rPr>
          <w:sz w:val="28"/>
          <w:szCs w:val="28"/>
        </w:rPr>
        <w:t>30</w:t>
      </w:r>
      <w:r w:rsidR="00810050">
        <w:rPr>
          <w:sz w:val="28"/>
          <w:szCs w:val="28"/>
        </w:rPr>
        <w:t>.</w:t>
      </w:r>
      <w:r w:rsidR="00EB5429">
        <w:rPr>
          <w:sz w:val="28"/>
          <w:szCs w:val="28"/>
        </w:rPr>
        <w:t>12</w:t>
      </w:r>
      <w:r w:rsidR="003F490F">
        <w:rPr>
          <w:sz w:val="28"/>
          <w:szCs w:val="28"/>
        </w:rPr>
        <w:t>.202</w:t>
      </w:r>
      <w:r w:rsidR="00EB5429">
        <w:rPr>
          <w:sz w:val="28"/>
          <w:szCs w:val="28"/>
        </w:rPr>
        <w:t>5</w:t>
      </w:r>
      <w:r w:rsidR="003F490F">
        <w:rPr>
          <w:sz w:val="28"/>
          <w:szCs w:val="28"/>
        </w:rPr>
        <w:t xml:space="preserve">                                                                                                        </w:t>
      </w:r>
      <w:r w:rsidR="00425358">
        <w:rPr>
          <w:sz w:val="28"/>
          <w:szCs w:val="28"/>
        </w:rPr>
        <w:t xml:space="preserve">№ </w:t>
      </w:r>
      <w:r w:rsidR="00A604FC">
        <w:rPr>
          <w:sz w:val="28"/>
          <w:szCs w:val="28"/>
        </w:rPr>
        <w:t>8</w:t>
      </w:r>
      <w:r w:rsidR="00D7437E">
        <w:rPr>
          <w:sz w:val="28"/>
          <w:szCs w:val="28"/>
        </w:rPr>
        <w:t>6</w:t>
      </w:r>
    </w:p>
    <w:tbl>
      <w:tblPr>
        <w:tblW w:w="10151" w:type="dxa"/>
        <w:tblLook w:val="01E0" w:firstRow="1" w:lastRow="1" w:firstColumn="1" w:lastColumn="1" w:noHBand="0" w:noVBand="0"/>
      </w:tblPr>
      <w:tblGrid>
        <w:gridCol w:w="5503"/>
        <w:gridCol w:w="4648"/>
      </w:tblGrid>
      <w:tr w:rsidR="00425358" w:rsidRPr="00E5003F" w:rsidTr="007B01E9">
        <w:trPr>
          <w:trHeight w:val="643"/>
        </w:trPr>
        <w:tc>
          <w:tcPr>
            <w:tcW w:w="5503" w:type="dxa"/>
            <w:shd w:val="clear" w:color="auto" w:fill="auto"/>
          </w:tcPr>
          <w:p w:rsidR="00425358" w:rsidRPr="00E5003F" w:rsidRDefault="00425358" w:rsidP="00E5003F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4648" w:type="dxa"/>
            <w:shd w:val="clear" w:color="auto" w:fill="auto"/>
          </w:tcPr>
          <w:p w:rsidR="00425358" w:rsidRPr="00E5003F" w:rsidRDefault="00425358" w:rsidP="00E5003F">
            <w:pPr>
              <w:jc w:val="center"/>
              <w:rPr>
                <w:i/>
                <w:sz w:val="24"/>
                <w:szCs w:val="24"/>
              </w:rPr>
            </w:pPr>
          </w:p>
        </w:tc>
      </w:tr>
    </w:tbl>
    <w:p w:rsidR="00015ED9" w:rsidRDefault="00015ED9" w:rsidP="00015ED9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Об утверждении методики оценки</w:t>
      </w:r>
    </w:p>
    <w:p w:rsidR="00015ED9" w:rsidRDefault="00015ED9" w:rsidP="00015ED9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эффективности налоговых расходов</w:t>
      </w:r>
    </w:p>
    <w:p w:rsidR="00015ED9" w:rsidRDefault="00015ED9" w:rsidP="00015ED9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по местным налогам, куратором </w:t>
      </w:r>
    </w:p>
    <w:p w:rsidR="00015ED9" w:rsidRDefault="00015ED9" w:rsidP="00015ED9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которых является финансовое управление</w:t>
      </w:r>
    </w:p>
    <w:p w:rsidR="00015ED9" w:rsidRDefault="00015ED9" w:rsidP="00015ED9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администрации Собинского муниципального</w:t>
      </w:r>
    </w:p>
    <w:p w:rsidR="00015ED9" w:rsidRDefault="00015ED9" w:rsidP="00015ED9">
      <w:pPr>
        <w:jc w:val="both"/>
        <w:rPr>
          <w:i/>
          <w:sz w:val="18"/>
        </w:rPr>
      </w:pPr>
      <w:r>
        <w:rPr>
          <w:i/>
          <w:sz w:val="24"/>
          <w:szCs w:val="24"/>
        </w:rPr>
        <w:t>округа Владимирской области</w:t>
      </w:r>
    </w:p>
    <w:p w:rsidR="00015ED9" w:rsidRDefault="00015ED9" w:rsidP="00015ED9">
      <w:pPr>
        <w:ind w:firstLine="900"/>
        <w:jc w:val="both"/>
        <w:rPr>
          <w:bCs/>
          <w:sz w:val="28"/>
          <w:szCs w:val="28"/>
        </w:rPr>
      </w:pPr>
    </w:p>
    <w:p w:rsidR="00015ED9" w:rsidRPr="007B01E9" w:rsidRDefault="00015ED9" w:rsidP="007B01E9">
      <w:pPr>
        <w:jc w:val="both"/>
        <w:rPr>
          <w:rFonts w:ascii="Calibri" w:eastAsia="Calibri" w:hAnsi="Calibri"/>
          <w:sz w:val="28"/>
          <w:szCs w:val="28"/>
          <w:highlight w:val="yellow"/>
          <w:lang w:eastAsia="en-US"/>
        </w:rPr>
      </w:pPr>
      <w:r>
        <w:rPr>
          <w:rFonts w:eastAsia="Lucida Sans Unicode" w:cs="Tahoma"/>
          <w:sz w:val="24"/>
          <w:szCs w:val="24"/>
        </w:rPr>
        <w:t xml:space="preserve">              </w:t>
      </w:r>
      <w:r>
        <w:rPr>
          <w:rFonts w:ascii="PT Astra Serif" w:hAnsi="PT Astra Serif"/>
          <w:sz w:val="28"/>
          <w:szCs w:val="28"/>
        </w:rPr>
        <w:t>В соответствии с положениями статьи 174.3 Бюджетного кодекса Российской Федерации, постановление Правительства Российской Федерации от 12.04.2019 года №</w:t>
      </w:r>
      <w:r w:rsidR="00EB5429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439 «Об утверждении правил формирования перечня налоговых расходов Российской Федерации и оценке налоговых расходов Российской Федерации»,</w:t>
      </w:r>
      <w:r>
        <w:rPr>
          <w:b/>
          <w:sz w:val="28"/>
          <w:szCs w:val="26"/>
        </w:rPr>
        <w:t xml:space="preserve"> </w:t>
      </w:r>
      <w:r w:rsidR="007B01E9">
        <w:rPr>
          <w:sz w:val="28"/>
          <w:szCs w:val="26"/>
        </w:rPr>
        <w:t>п р и к а з ы в а ю</w:t>
      </w:r>
      <w:r w:rsidRPr="007B01E9">
        <w:rPr>
          <w:sz w:val="28"/>
          <w:szCs w:val="26"/>
        </w:rPr>
        <w:t>:</w:t>
      </w:r>
    </w:p>
    <w:p w:rsidR="00015ED9" w:rsidRDefault="00015ED9" w:rsidP="00015ED9">
      <w:pPr>
        <w:ind w:firstLine="709"/>
        <w:jc w:val="both"/>
        <w:rPr>
          <w:b/>
          <w:sz w:val="28"/>
          <w:szCs w:val="26"/>
        </w:rPr>
      </w:pPr>
    </w:p>
    <w:p w:rsidR="00015ED9" w:rsidRDefault="00015ED9" w:rsidP="00015ED9">
      <w:pPr>
        <w:numPr>
          <w:ilvl w:val="0"/>
          <w:numId w:val="5"/>
        </w:numPr>
        <w:tabs>
          <w:tab w:val="clear" w:pos="2066"/>
          <w:tab w:val="left" w:pos="993"/>
        </w:tabs>
        <w:ind w:left="0" w:firstLine="680"/>
        <w:jc w:val="both"/>
        <w:rPr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Утвердить Методику оценки эффективности налоговых расходов по местным налогам, куратором которых является финансовое управление администрации Собинского муниципального округа Владимирской области, </w:t>
      </w:r>
      <w:r>
        <w:rPr>
          <w:sz w:val="28"/>
          <w:szCs w:val="28"/>
        </w:rPr>
        <w:t>согласно приложению</w:t>
      </w:r>
      <w:r w:rsidR="00EB5429">
        <w:rPr>
          <w:sz w:val="28"/>
          <w:szCs w:val="28"/>
        </w:rPr>
        <w:t>,</w:t>
      </w:r>
      <w:r>
        <w:rPr>
          <w:sz w:val="28"/>
          <w:szCs w:val="28"/>
        </w:rPr>
        <w:t xml:space="preserve"> к настоящему приказу. </w:t>
      </w:r>
    </w:p>
    <w:p w:rsidR="00015ED9" w:rsidRDefault="00015ED9" w:rsidP="00015ED9">
      <w:pPr>
        <w:numPr>
          <w:ilvl w:val="0"/>
          <w:numId w:val="5"/>
        </w:numPr>
        <w:tabs>
          <w:tab w:val="clear" w:pos="2066"/>
          <w:tab w:val="left" w:pos="851"/>
          <w:tab w:val="left" w:pos="993"/>
        </w:tabs>
        <w:ind w:left="0" w:firstLine="680"/>
        <w:jc w:val="both"/>
        <w:rPr>
          <w:sz w:val="28"/>
          <w:szCs w:val="28"/>
        </w:rPr>
      </w:pPr>
      <w:r>
        <w:rPr>
          <w:sz w:val="28"/>
          <w:szCs w:val="28"/>
        </w:rPr>
        <w:t>Отделу налоговых и неналоговых ф</w:t>
      </w:r>
      <w:r>
        <w:rPr>
          <w:rFonts w:ascii="PT Astra Serif" w:hAnsi="PT Astra Serif"/>
          <w:sz w:val="28"/>
          <w:szCs w:val="28"/>
        </w:rPr>
        <w:t>инансового управления администрации Собинского муниципального округа Владимирской области</w:t>
      </w:r>
      <w:r>
        <w:rPr>
          <w:sz w:val="28"/>
          <w:szCs w:val="28"/>
        </w:rPr>
        <w:t xml:space="preserve"> обеспечить ежегодное проведение оценки эффективности налоговых расходов.</w:t>
      </w:r>
    </w:p>
    <w:p w:rsidR="007B01E9" w:rsidRDefault="007B01E9" w:rsidP="0031028F">
      <w:pPr>
        <w:pStyle w:val="a5"/>
        <w:ind w:firstLine="709"/>
        <w:rPr>
          <w:szCs w:val="28"/>
        </w:rPr>
      </w:pPr>
      <w:r>
        <w:rPr>
          <w:szCs w:val="28"/>
        </w:rPr>
        <w:t xml:space="preserve">3. </w:t>
      </w:r>
      <w:r w:rsidRPr="007B01E9">
        <w:rPr>
          <w:szCs w:val="28"/>
        </w:rPr>
        <w:t>Настоящий приказ подлежит размещению в сети Интернет на официальном сайте администрации Собинского муниципального округа Владимирской области в пределах информационного ресурса финансового управления администрации Собинского муниципального округа Владимирской области.</w:t>
      </w:r>
    </w:p>
    <w:p w:rsidR="00C64AC2" w:rsidRDefault="00015ED9" w:rsidP="0031028F">
      <w:pPr>
        <w:pStyle w:val="a5"/>
        <w:ind w:firstLine="709"/>
      </w:pPr>
      <w:r>
        <w:t>4</w:t>
      </w:r>
      <w:r w:rsidR="00626935">
        <w:t>.</w:t>
      </w:r>
      <w:r w:rsidR="00BC2821">
        <w:t xml:space="preserve"> </w:t>
      </w:r>
      <w:r w:rsidR="00626935">
        <w:t xml:space="preserve">Настоящий приказ вступает в силу </w:t>
      </w:r>
      <w:r w:rsidR="00771048">
        <w:t xml:space="preserve">с </w:t>
      </w:r>
      <w:r w:rsidR="00ED438B">
        <w:t>момента подписания</w:t>
      </w:r>
      <w:r w:rsidR="00626935">
        <w:t>.</w:t>
      </w:r>
    </w:p>
    <w:p w:rsidR="003D618D" w:rsidRPr="00703CE6" w:rsidRDefault="00015ED9" w:rsidP="00876843">
      <w:pPr>
        <w:pStyle w:val="a5"/>
        <w:ind w:firstLine="709"/>
      </w:pPr>
      <w:r>
        <w:t>5</w:t>
      </w:r>
      <w:r w:rsidR="00BC2821">
        <w:t>. Контроль за исполнением настоящего приказа оставляю за собой.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1877"/>
        <w:gridCol w:w="2942"/>
      </w:tblGrid>
      <w:tr w:rsidR="007E00A8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:rsidR="00EB4A56" w:rsidRDefault="00EB4A56">
            <w:pPr>
              <w:rPr>
                <w:sz w:val="28"/>
              </w:rPr>
            </w:pPr>
          </w:p>
          <w:p w:rsidR="008709B2" w:rsidRDefault="008709B2" w:rsidP="00044551">
            <w:pPr>
              <w:rPr>
                <w:sz w:val="28"/>
              </w:rPr>
            </w:pPr>
          </w:p>
          <w:p w:rsidR="007E00A8" w:rsidRDefault="00014F71" w:rsidP="00044551">
            <w:pPr>
              <w:rPr>
                <w:sz w:val="28"/>
              </w:rPr>
            </w:pPr>
            <w:r>
              <w:rPr>
                <w:sz w:val="28"/>
              </w:rPr>
              <w:t>Н</w:t>
            </w:r>
            <w:r w:rsidR="00C6601E">
              <w:rPr>
                <w:sz w:val="28"/>
              </w:rPr>
              <w:t xml:space="preserve">ачальник финансового управления </w:t>
            </w:r>
            <w:r w:rsidR="001F3E75">
              <w:rPr>
                <w:sz w:val="28"/>
              </w:rPr>
              <w:t xml:space="preserve">                </w:t>
            </w:r>
          </w:p>
        </w:tc>
        <w:tc>
          <w:tcPr>
            <w:tcW w:w="1877" w:type="dxa"/>
          </w:tcPr>
          <w:p w:rsidR="007E00A8" w:rsidRDefault="007E00A8">
            <w:pPr>
              <w:jc w:val="both"/>
              <w:rPr>
                <w:sz w:val="28"/>
              </w:rPr>
            </w:pPr>
          </w:p>
        </w:tc>
        <w:tc>
          <w:tcPr>
            <w:tcW w:w="2942" w:type="dxa"/>
          </w:tcPr>
          <w:p w:rsidR="00B650D9" w:rsidRDefault="00B650D9" w:rsidP="00B650D9">
            <w:pPr>
              <w:rPr>
                <w:sz w:val="28"/>
              </w:rPr>
            </w:pPr>
          </w:p>
          <w:p w:rsidR="00FC147A" w:rsidRDefault="00FC147A" w:rsidP="00B650D9">
            <w:pPr>
              <w:rPr>
                <w:sz w:val="28"/>
              </w:rPr>
            </w:pPr>
          </w:p>
          <w:p w:rsidR="00C6601E" w:rsidRDefault="001F3E75" w:rsidP="001F3E75">
            <w:pPr>
              <w:rPr>
                <w:sz w:val="28"/>
              </w:rPr>
            </w:pPr>
            <w:r>
              <w:rPr>
                <w:sz w:val="28"/>
              </w:rPr>
              <w:t xml:space="preserve">          </w:t>
            </w:r>
            <w:r w:rsidR="00014F71">
              <w:rPr>
                <w:sz w:val="28"/>
              </w:rPr>
              <w:t>Т.Л.</w:t>
            </w:r>
            <w:r w:rsidR="00EB4A56">
              <w:rPr>
                <w:sz w:val="28"/>
              </w:rPr>
              <w:t xml:space="preserve"> </w:t>
            </w:r>
            <w:r w:rsidR="00014F71">
              <w:rPr>
                <w:sz w:val="28"/>
              </w:rPr>
              <w:t>Маскайкина</w:t>
            </w:r>
          </w:p>
        </w:tc>
      </w:tr>
    </w:tbl>
    <w:p w:rsidR="00015ED9" w:rsidRDefault="00015ED9" w:rsidP="00015ED9">
      <w:pPr>
        <w:spacing w:line="360" w:lineRule="atLeast"/>
        <w:ind w:firstLine="851"/>
        <w:jc w:val="right"/>
        <w:rPr>
          <w:sz w:val="24"/>
        </w:rPr>
      </w:pPr>
    </w:p>
    <w:p w:rsidR="00015ED9" w:rsidRDefault="00015ED9" w:rsidP="00015ED9">
      <w:pPr>
        <w:spacing w:line="360" w:lineRule="atLeast"/>
        <w:ind w:firstLine="851"/>
        <w:jc w:val="right"/>
        <w:rPr>
          <w:sz w:val="24"/>
        </w:rPr>
      </w:pPr>
    </w:p>
    <w:p w:rsidR="00015ED9" w:rsidRDefault="00015ED9" w:rsidP="00015ED9">
      <w:pPr>
        <w:spacing w:line="360" w:lineRule="atLeast"/>
        <w:ind w:firstLine="851"/>
        <w:jc w:val="right"/>
        <w:rPr>
          <w:sz w:val="24"/>
        </w:rPr>
      </w:pPr>
    </w:p>
    <w:p w:rsidR="007B01E9" w:rsidRDefault="007B01E9" w:rsidP="00EB5429">
      <w:pPr>
        <w:spacing w:line="360" w:lineRule="atLeast"/>
        <w:rPr>
          <w:sz w:val="24"/>
        </w:rPr>
      </w:pPr>
    </w:p>
    <w:p w:rsidR="00015ED9" w:rsidRDefault="00015ED9" w:rsidP="00015ED9">
      <w:pPr>
        <w:spacing w:line="360" w:lineRule="atLeast"/>
        <w:ind w:firstLine="851"/>
        <w:jc w:val="right"/>
        <w:rPr>
          <w:sz w:val="24"/>
        </w:rPr>
      </w:pPr>
    </w:p>
    <w:p w:rsidR="00EB5429" w:rsidRDefault="00EB5429" w:rsidP="00015ED9">
      <w:pPr>
        <w:spacing w:line="360" w:lineRule="atLeast"/>
        <w:ind w:firstLine="851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к приказу </w:t>
      </w:r>
    </w:p>
    <w:p w:rsidR="00015ED9" w:rsidRPr="007B01E9" w:rsidRDefault="00EB5429" w:rsidP="00015ED9">
      <w:pPr>
        <w:spacing w:line="360" w:lineRule="atLeast"/>
        <w:ind w:firstLine="85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№ 86 </w:t>
      </w:r>
      <w:r w:rsidR="00015ED9" w:rsidRPr="007B01E9">
        <w:rPr>
          <w:sz w:val="28"/>
          <w:szCs w:val="28"/>
        </w:rPr>
        <w:t>от</w:t>
      </w:r>
      <w:r>
        <w:rPr>
          <w:sz w:val="28"/>
          <w:szCs w:val="28"/>
        </w:rPr>
        <w:t xml:space="preserve"> 30.12.2025</w:t>
      </w:r>
      <w:r w:rsidR="00015ED9" w:rsidRPr="007B01E9">
        <w:rPr>
          <w:sz w:val="28"/>
          <w:szCs w:val="28"/>
        </w:rPr>
        <w:t xml:space="preserve"> </w:t>
      </w:r>
    </w:p>
    <w:p w:rsidR="00015ED9" w:rsidRDefault="00015ED9" w:rsidP="00015ED9">
      <w:pPr>
        <w:ind w:firstLine="851"/>
        <w:jc w:val="both"/>
        <w:rPr>
          <w:sz w:val="24"/>
          <w:highlight w:val="yellow"/>
        </w:rPr>
      </w:pPr>
    </w:p>
    <w:p w:rsidR="00015ED9" w:rsidRDefault="00015ED9" w:rsidP="00015ED9">
      <w:pPr>
        <w:autoSpaceDE w:val="0"/>
        <w:autoSpaceDN w:val="0"/>
        <w:adjustRightInd w:val="0"/>
        <w:jc w:val="center"/>
        <w:rPr>
          <w:rFonts w:ascii="PT Astra Serif" w:hAnsi="PT Astra Serif"/>
          <w:bCs/>
          <w:color w:val="000000"/>
          <w:sz w:val="28"/>
          <w:szCs w:val="28"/>
        </w:rPr>
      </w:pPr>
      <w:r>
        <w:rPr>
          <w:rFonts w:ascii="PT Astra Serif" w:hAnsi="PT Astra Serif"/>
          <w:bCs/>
          <w:color w:val="000000"/>
          <w:sz w:val="28"/>
          <w:szCs w:val="28"/>
        </w:rPr>
        <w:t xml:space="preserve">МЕТОДИКА </w:t>
      </w:r>
    </w:p>
    <w:p w:rsidR="00015ED9" w:rsidRDefault="00015ED9" w:rsidP="00015ED9">
      <w:pPr>
        <w:autoSpaceDE w:val="0"/>
        <w:autoSpaceDN w:val="0"/>
        <w:adjustRightInd w:val="0"/>
        <w:jc w:val="center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bCs/>
          <w:color w:val="000000"/>
          <w:sz w:val="28"/>
          <w:szCs w:val="28"/>
        </w:rPr>
        <w:t>оценки эффективности налоговых расходов</w:t>
      </w:r>
    </w:p>
    <w:p w:rsidR="00015ED9" w:rsidRDefault="00015ED9" w:rsidP="00015ED9">
      <w:pPr>
        <w:contextualSpacing/>
        <w:jc w:val="center"/>
        <w:rPr>
          <w:rFonts w:ascii="PT Astra Serif" w:hAnsi="PT Astra Serif"/>
          <w:strike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 местным налогам, куратором которых является финансовое управление администрации Собинского муниципального округа Владимирской области</w:t>
      </w:r>
    </w:p>
    <w:p w:rsidR="00015ED9" w:rsidRDefault="00015ED9" w:rsidP="00015ED9">
      <w:pPr>
        <w:autoSpaceDE w:val="0"/>
        <w:autoSpaceDN w:val="0"/>
        <w:adjustRightInd w:val="0"/>
        <w:jc w:val="center"/>
        <w:rPr>
          <w:rFonts w:ascii="PT Astra Serif" w:hAnsi="PT Astra Serif"/>
          <w:color w:val="000000"/>
          <w:sz w:val="28"/>
          <w:szCs w:val="28"/>
        </w:rPr>
      </w:pPr>
    </w:p>
    <w:p w:rsidR="00015ED9" w:rsidRDefault="00015ED9" w:rsidP="00015ED9">
      <w:pPr>
        <w:autoSpaceDE w:val="0"/>
        <w:autoSpaceDN w:val="0"/>
        <w:adjustRightInd w:val="0"/>
        <w:ind w:left="720"/>
        <w:jc w:val="center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  <w:lang w:val="en-US"/>
        </w:rPr>
        <w:t>I</w:t>
      </w:r>
      <w:r>
        <w:rPr>
          <w:rFonts w:ascii="PT Astra Serif" w:hAnsi="PT Astra Serif"/>
          <w:color w:val="000000"/>
          <w:sz w:val="28"/>
          <w:szCs w:val="28"/>
        </w:rPr>
        <w:t xml:space="preserve"> Общие положения</w:t>
      </w:r>
    </w:p>
    <w:p w:rsidR="00015ED9" w:rsidRDefault="00015ED9" w:rsidP="00015ED9">
      <w:pPr>
        <w:autoSpaceDE w:val="0"/>
        <w:autoSpaceDN w:val="0"/>
        <w:adjustRightInd w:val="0"/>
        <w:rPr>
          <w:rFonts w:ascii="PT Astra Serif" w:hAnsi="PT Astra Serif"/>
          <w:color w:val="000000"/>
          <w:sz w:val="28"/>
          <w:szCs w:val="28"/>
        </w:rPr>
      </w:pPr>
    </w:p>
    <w:p w:rsidR="00015ED9" w:rsidRDefault="00015ED9" w:rsidP="00015ED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1.1. Настоящая методика разработана в соответствии с Правилами формирования перечня налоговых расходов Российской Федерации и оценки налоговых расходов Российской Федерации, утвержденными постановлением Правительства Российской Федерации от </w:t>
      </w:r>
      <w:r>
        <w:rPr>
          <w:rFonts w:ascii="PT Astra Serif" w:hAnsi="PT Astra Serif"/>
          <w:sz w:val="28"/>
          <w:szCs w:val="28"/>
        </w:rPr>
        <w:t xml:space="preserve">12.04.2019 года №439 «Об утверждении правил формирования перечня налоговых расходов Российской Федерации и оценке налоговых расходов Российской Федерации», требованиями постановления Правительства Российской Федерации от 22.06.2019 года №796 «Об общих требованиях к оценке налоговых расходов субъектов Российской Федерации и муниципальных образований» и постановлением администрации Собинского муниципального округа от </w:t>
      </w:r>
      <w:r w:rsidR="007B01E9">
        <w:rPr>
          <w:rFonts w:ascii="PT Astra Serif" w:hAnsi="PT Astra Serif"/>
          <w:sz w:val="28"/>
          <w:szCs w:val="28"/>
        </w:rPr>
        <w:t>22.12.2025 № 2620</w:t>
      </w:r>
      <w:r>
        <w:rPr>
          <w:rFonts w:ascii="PT Astra Serif" w:hAnsi="PT Astra Serif"/>
          <w:sz w:val="28"/>
          <w:szCs w:val="28"/>
        </w:rPr>
        <w:t xml:space="preserve"> «</w:t>
      </w:r>
      <w:r>
        <w:rPr>
          <w:rFonts w:eastAsia="Tahoma"/>
          <w:sz w:val="28"/>
          <w:szCs w:val="28"/>
        </w:rPr>
        <w:t>Об утверждении Порядка формирования перечня налоговых расходов и оценки налоговых расходов Собинского муниципального округа Владимирской области</w:t>
      </w:r>
      <w:r>
        <w:rPr>
          <w:rFonts w:ascii="PT Astra Serif" w:hAnsi="PT Astra Serif"/>
          <w:sz w:val="28"/>
          <w:szCs w:val="28"/>
        </w:rPr>
        <w:t>»</w:t>
      </w:r>
      <w:r>
        <w:rPr>
          <w:rFonts w:ascii="PT Astra Serif" w:hAnsi="PT Astra Serif" w:cs="Arial"/>
          <w:sz w:val="28"/>
          <w:szCs w:val="28"/>
        </w:rPr>
        <w:t>.</w:t>
      </w:r>
    </w:p>
    <w:p w:rsidR="00015ED9" w:rsidRDefault="00015ED9" w:rsidP="00015ED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1.2. Настоящая Методика определяет правила проведения оценки эффективности налоговых расходов Собинского муниципального округа Владимирской области в виде налоговых льгот, предусмотренных принятыми нормативными правовыми актами представительного органа Собинского муниципального округа Владимирской области.</w:t>
      </w:r>
    </w:p>
    <w:p w:rsidR="00015ED9" w:rsidRDefault="00015ED9" w:rsidP="00015ED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1.3.Оценка эффективности налоговых расходов проводится финансовым управлением администрации Собинского муниципального округа (далее – финансовое управление) как куратором налоговых расходов, определенным постановлением администрации Собинского муниципального округа от </w:t>
      </w:r>
      <w:r w:rsidR="007B01E9">
        <w:rPr>
          <w:rFonts w:ascii="PT Astra Serif" w:hAnsi="PT Astra Serif"/>
          <w:sz w:val="28"/>
          <w:szCs w:val="28"/>
        </w:rPr>
        <w:t>22.12.2025 № 2620</w:t>
      </w:r>
      <w:r>
        <w:rPr>
          <w:rFonts w:ascii="PT Astra Serif" w:hAnsi="PT Astra Serif"/>
          <w:sz w:val="28"/>
          <w:szCs w:val="28"/>
        </w:rPr>
        <w:t xml:space="preserve"> «</w:t>
      </w:r>
      <w:r>
        <w:rPr>
          <w:rFonts w:eastAsia="Tahoma"/>
          <w:sz w:val="28"/>
          <w:szCs w:val="28"/>
        </w:rPr>
        <w:t>Об утверждении Порядка формирования перечня налоговых расходов и оценки налоговых расходов Собинского муниципального округа Владимирской области</w:t>
      </w:r>
      <w:r>
        <w:rPr>
          <w:rFonts w:ascii="PT Astra Serif" w:hAnsi="PT Astra Serif"/>
          <w:sz w:val="28"/>
          <w:szCs w:val="28"/>
        </w:rPr>
        <w:t>» и определяет комплекс мероприятий, позволяющих сделать вывод о целесообразности и результативности предоставления плательщикам налоговых льгот.</w:t>
      </w:r>
    </w:p>
    <w:p w:rsidR="00015ED9" w:rsidRDefault="00015ED9" w:rsidP="00015ED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1.4. Оценка эффективности налоговых расходов по местным налогам проводится путем расчетов, осуществляемых с использованием данных налоговой, статистической, финансовой отчетности, а также иной информации, позволяющей произвести необходимые расчеты при проведении оценки эффективности налоговых расходов.</w:t>
      </w:r>
    </w:p>
    <w:p w:rsidR="00015ED9" w:rsidRDefault="00015ED9" w:rsidP="00015ED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1.5. </w:t>
      </w:r>
      <w:bookmarkStart w:id="1" w:name="Par36"/>
      <w:bookmarkEnd w:id="1"/>
      <w:r>
        <w:rPr>
          <w:rFonts w:ascii="PT Astra Serif" w:hAnsi="PT Astra Serif" w:cs="Arial"/>
          <w:sz w:val="28"/>
          <w:szCs w:val="28"/>
        </w:rPr>
        <w:t xml:space="preserve">Для проведения оценки эффективности налоговых расходов финансовое управление вправе при недостаточности имеющейся в его распоряжении информации и (или) для ее подтверждения запрашивать у структурных подразделений администрации Собинского муниципального округа и других </w:t>
      </w:r>
      <w:r>
        <w:rPr>
          <w:rFonts w:ascii="PT Astra Serif" w:hAnsi="PT Astra Serif" w:cs="Arial"/>
          <w:sz w:val="28"/>
          <w:szCs w:val="28"/>
        </w:rPr>
        <w:lastRenderedPageBreak/>
        <w:t>организаций сведения, на основании которых проводится оценка.</w:t>
      </w:r>
    </w:p>
    <w:p w:rsidR="00015ED9" w:rsidRDefault="00015ED9" w:rsidP="00015ED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1.6. Оценка эффективности налоговых расходов проводится в разрезе категорий налогоплательщиков, которым предоставлены налоговые льготы в виде:</w:t>
      </w:r>
    </w:p>
    <w:p w:rsidR="00015ED9" w:rsidRDefault="00015ED9" w:rsidP="00015ED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 - освобождения от уплаты налога (полное или частичное);</w:t>
      </w:r>
    </w:p>
    <w:p w:rsidR="00015ED9" w:rsidRDefault="00015ED9" w:rsidP="00015ED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- снижения налоговой ставки.</w:t>
      </w:r>
    </w:p>
    <w:p w:rsidR="00015ED9" w:rsidRDefault="00015ED9" w:rsidP="00015ED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1.7. Результаты оценки эффективности налоговых расходов по местным налогам используются в целях разработки проекта решения о бюджете Собинского муниципального округа на очередной финансовый год и плановый период, установления налоговых расходов, своевременного принятия мер по отмене или корректировке неэффективных налоговых расходов.</w:t>
      </w:r>
    </w:p>
    <w:p w:rsidR="00015ED9" w:rsidRDefault="00015ED9" w:rsidP="00015ED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  <w:highlight w:val="yellow"/>
        </w:rPr>
      </w:pPr>
    </w:p>
    <w:p w:rsidR="00015ED9" w:rsidRDefault="00015ED9" w:rsidP="00015ED9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 w:cs="Arial"/>
          <w:bCs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II</w:t>
      </w:r>
      <w:r>
        <w:rPr>
          <w:rFonts w:ascii="PT Astra Serif" w:hAnsi="PT Astra Serif" w:cs="Arial"/>
          <w:bCs/>
          <w:sz w:val="28"/>
          <w:szCs w:val="28"/>
        </w:rPr>
        <w:t>. Порядок оценки эффективности налоговых расходов</w:t>
      </w:r>
    </w:p>
    <w:p w:rsidR="00015ED9" w:rsidRDefault="00015ED9" w:rsidP="00015ED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015ED9" w:rsidRDefault="00015ED9" w:rsidP="00015ED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2.1. Оценка эффективности налоговых расходов включает в себя оценку целесообразности налоговых расходов и оценку результативности налоговых расходов.</w:t>
      </w:r>
    </w:p>
    <w:p w:rsidR="00015ED9" w:rsidRDefault="00015ED9" w:rsidP="00015ED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2.2. Оценка целесообразности налоговых расходов проводится по следующим критериям:</w:t>
      </w:r>
    </w:p>
    <w:p w:rsidR="00015ED9" w:rsidRDefault="00015ED9" w:rsidP="00015ED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- соответствие налогового расхода целям муниципальных программ Собинского муниципального округа и (или) целям социально-экономической политики Собинского муниципального округа Владимирской области, не относящимся к муниципальным программам;</w:t>
      </w:r>
    </w:p>
    <w:p w:rsidR="00015ED9" w:rsidRDefault="00015ED9" w:rsidP="00015ED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- востребованность плательщиками налогов предоставленных налоговых льгот, которая характеризуется соотношением численности плательщиков, воспользовавшихся правом на налоговые льготы, и общей численности плательщиков налогов за 5-летний период.</w:t>
      </w:r>
    </w:p>
    <w:p w:rsidR="00015ED9" w:rsidRDefault="00015ED9" w:rsidP="00015ED9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2.3. Оценка целесообразности налоговых расходов характеризуется показателями, подтверждающими создание благоприятных условий развития социальной инфраструктуры и бизнеса, повышение социальной защищенности населения.</w:t>
      </w:r>
    </w:p>
    <w:p w:rsidR="00015ED9" w:rsidRDefault="00015ED9" w:rsidP="00015ED9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Налоговые льготы социально незащищенным категориям граждан признаются социально эффективными в случае, если сумма предоставляемых налоговых льгот составляет не более 10 процентов суммы начислений по соответствующему налогу.</w:t>
      </w:r>
    </w:p>
    <w:p w:rsidR="00015ED9" w:rsidRDefault="00015ED9" w:rsidP="00015ED9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2.4. В случае несоответствия налоговых расходов хотя бы одному из критериев, указанных в пункте 2.2, финансовому управлению необходимо представить предложения о сохранении (уточнении, отмене) льгот для плательщиков. </w:t>
      </w:r>
    </w:p>
    <w:p w:rsidR="00015ED9" w:rsidRDefault="00015ED9" w:rsidP="00015ED9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2.5. Оценка результативности налоговых расходов включает в себя:</w:t>
      </w:r>
    </w:p>
    <w:p w:rsidR="00015ED9" w:rsidRDefault="00015ED9" w:rsidP="00015ED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- оценку вклада налоговых льгот в достижение показателей результативности налоговых расходов;</w:t>
      </w:r>
    </w:p>
    <w:p w:rsidR="00015ED9" w:rsidRDefault="00015ED9" w:rsidP="00015ED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- оценку бюджетной эффективности налоговых расходов;</w:t>
      </w:r>
    </w:p>
    <w:p w:rsidR="00015ED9" w:rsidRDefault="00015ED9" w:rsidP="00015ED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- оценку совокупного бюджетного эффекта (самоокупаемости) стимулирующих налоговых расходов.</w:t>
      </w:r>
    </w:p>
    <w:p w:rsidR="00015ED9" w:rsidRDefault="00015ED9" w:rsidP="00015ED9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lastRenderedPageBreak/>
        <w:t xml:space="preserve">2.6. </w:t>
      </w:r>
      <w:r>
        <w:rPr>
          <w:spacing w:val="2"/>
          <w:sz w:val="28"/>
          <w:szCs w:val="28"/>
        </w:rPr>
        <w:t>Оценка совокупного бюджетного эффекта (самоокупаемости) стимулирующих налоговых расходов определяется за период с начала действия для плательщиков соответствующих льгот или за 5 отчетных лет, а в случае, если указанные льготы действуют более 6 лет, - на день проведения оценки эффективности налогового расхода (E) по следующей формуле:</w:t>
      </w:r>
    </w:p>
    <w:p w:rsidR="00015ED9" w:rsidRDefault="00015ED9" w:rsidP="00015ED9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br/>
      </w:r>
      <w:r>
        <w:rPr>
          <w:noProof/>
          <w:position w:val="-25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159pt;height:35.25pt;visibility:visible">
            <v:imagedata r:id="rId5" o:title=""/>
          </v:shape>
        </w:pict>
      </w:r>
    </w:p>
    <w:p w:rsidR="00015ED9" w:rsidRDefault="00015ED9" w:rsidP="00015ED9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br/>
        <w:t>где:</w:t>
      </w:r>
    </w:p>
    <w:p w:rsidR="00015ED9" w:rsidRDefault="00015ED9" w:rsidP="00015ED9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br/>
        <w:t>i - порядковый номер года, имеющий значение от 1 до 5;</w:t>
      </w:r>
    </w:p>
    <w:p w:rsidR="00015ED9" w:rsidRDefault="00015ED9" w:rsidP="00015ED9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proofErr w:type="spellStart"/>
      <w:r>
        <w:rPr>
          <w:spacing w:val="2"/>
          <w:sz w:val="28"/>
          <w:szCs w:val="28"/>
        </w:rPr>
        <w:t>mi</w:t>
      </w:r>
      <w:proofErr w:type="spellEnd"/>
      <w:r>
        <w:rPr>
          <w:spacing w:val="2"/>
          <w:sz w:val="28"/>
          <w:szCs w:val="28"/>
        </w:rPr>
        <w:t xml:space="preserve"> - количество плательщиков, воспользовавшихся льготой в i-м году;</w:t>
      </w:r>
    </w:p>
    <w:p w:rsidR="00015ED9" w:rsidRDefault="00015ED9" w:rsidP="00015ED9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j - порядковый номер плательщика, имеющий значение от 1 до m;</w:t>
      </w:r>
    </w:p>
    <w:p w:rsidR="00015ED9" w:rsidRDefault="00015ED9" w:rsidP="00015ED9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proofErr w:type="spellStart"/>
      <w:r>
        <w:rPr>
          <w:spacing w:val="2"/>
          <w:sz w:val="28"/>
          <w:szCs w:val="28"/>
        </w:rPr>
        <w:t>Nij</w:t>
      </w:r>
      <w:proofErr w:type="spellEnd"/>
      <w:r>
        <w:rPr>
          <w:spacing w:val="2"/>
          <w:sz w:val="28"/>
          <w:szCs w:val="28"/>
        </w:rPr>
        <w:t xml:space="preserve"> - объем налогов, задекларированных для уплаты в местный бюджет j-м плательщиком в i-м году.</w:t>
      </w:r>
    </w:p>
    <w:p w:rsidR="00015ED9" w:rsidRDefault="00015ED9" w:rsidP="00015ED9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br/>
        <w:t xml:space="preserve">          При определении объема налогов, задекларированных для уплаты в местный бюджет плательщиками, учитываются начисления по налогу на доходы физических лиц, по налогам, подлежащим уплате в связи с применением специальных налоговых режимов, и земельному налогу.</w:t>
      </w:r>
    </w:p>
    <w:p w:rsidR="00015ED9" w:rsidRDefault="00015ED9" w:rsidP="00015ED9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В случае если на день проведения оценки совокупного бюджетного эффекта (самоокупаемости) стимулирующих налоговых расходов для плательщиков, имеющих право на льготы, льготы действуют менее 6 лет, объемы налогов, подлежащих уплате в местный бюджет, оцениваются (прогнозируются) по данным кураторов налоговых расходов муниципального образования;</w:t>
      </w:r>
    </w:p>
    <w:p w:rsidR="00015ED9" w:rsidRDefault="00015ED9" w:rsidP="00015ED9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br/>
      </w:r>
      <w:proofErr w:type="spellStart"/>
      <w:r>
        <w:rPr>
          <w:spacing w:val="2"/>
          <w:sz w:val="28"/>
          <w:szCs w:val="28"/>
        </w:rPr>
        <w:t>Boj</w:t>
      </w:r>
      <w:proofErr w:type="spellEnd"/>
      <w:r>
        <w:rPr>
          <w:spacing w:val="2"/>
          <w:sz w:val="28"/>
          <w:szCs w:val="28"/>
        </w:rPr>
        <w:t xml:space="preserve"> - базовый объем налогов, задекларированных для уплаты в местный бюджет j-м плательщиком в базовом году;</w:t>
      </w:r>
    </w:p>
    <w:p w:rsidR="00015ED9" w:rsidRDefault="00015ED9" w:rsidP="00015ED9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br/>
      </w:r>
      <w:proofErr w:type="spellStart"/>
      <w:r>
        <w:rPr>
          <w:spacing w:val="2"/>
          <w:sz w:val="28"/>
          <w:szCs w:val="28"/>
        </w:rPr>
        <w:t>gi</w:t>
      </w:r>
      <w:proofErr w:type="spellEnd"/>
      <w:r>
        <w:rPr>
          <w:spacing w:val="2"/>
          <w:sz w:val="28"/>
          <w:szCs w:val="28"/>
        </w:rPr>
        <w:t xml:space="preserve"> - номинальный темп прироста налоговых доходов в местный бюджет в i-м году по отношению к показателям базового года;</w:t>
      </w:r>
    </w:p>
    <w:p w:rsidR="00015ED9" w:rsidRDefault="00015ED9" w:rsidP="00015ED9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br/>
        <w:t>r - расчетная стоимость среднесрочных рыночных заимствований, рассчитываемая по формуле:</w:t>
      </w:r>
    </w:p>
    <w:p w:rsidR="00015ED9" w:rsidRDefault="00015ED9" w:rsidP="00015ED9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br/>
        <w:t xml:space="preserve">r = </w:t>
      </w:r>
      <w:proofErr w:type="spellStart"/>
      <w:r>
        <w:rPr>
          <w:spacing w:val="2"/>
          <w:sz w:val="28"/>
          <w:szCs w:val="28"/>
        </w:rPr>
        <w:t>iинф</w:t>
      </w:r>
      <w:proofErr w:type="spellEnd"/>
      <w:r>
        <w:rPr>
          <w:spacing w:val="2"/>
          <w:sz w:val="28"/>
          <w:szCs w:val="28"/>
        </w:rPr>
        <w:t xml:space="preserve"> + p + c,</w:t>
      </w:r>
    </w:p>
    <w:p w:rsidR="00015ED9" w:rsidRDefault="00015ED9" w:rsidP="00015ED9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br/>
        <w:t>где:</w:t>
      </w:r>
    </w:p>
    <w:p w:rsidR="00015ED9" w:rsidRDefault="00015ED9" w:rsidP="00015ED9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br/>
      </w:r>
      <w:proofErr w:type="spellStart"/>
      <w:r>
        <w:rPr>
          <w:spacing w:val="2"/>
          <w:sz w:val="28"/>
          <w:szCs w:val="28"/>
        </w:rPr>
        <w:t>iинф</w:t>
      </w:r>
      <w:proofErr w:type="spellEnd"/>
      <w:r>
        <w:rPr>
          <w:spacing w:val="2"/>
          <w:sz w:val="28"/>
          <w:szCs w:val="28"/>
        </w:rPr>
        <w:t xml:space="preserve"> - целевой уровень инфляции (4 процента);</w:t>
      </w:r>
    </w:p>
    <w:p w:rsidR="00015ED9" w:rsidRDefault="00015ED9" w:rsidP="00015ED9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br/>
        <w:t>p - реальная процентная ставка, определяемая на уровне 2,5 процента;</w:t>
      </w:r>
    </w:p>
    <w:p w:rsidR="00015ED9" w:rsidRDefault="00015ED9" w:rsidP="00015ED9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lastRenderedPageBreak/>
        <w:br/>
        <w:t>c - кредитная премия за риск, рассчитываемая в зависимости от отношения муниципального долга по состоянию на 1 января текущего финансового года к доходам (без учета безвозмездных поступлений) за отчетный период, принимается равной 1 проценту.</w:t>
      </w:r>
    </w:p>
    <w:p w:rsidR="00015ED9" w:rsidRDefault="00015ED9" w:rsidP="00015ED9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2.7. Базовый объем налогов, задекларированных для уплаты в бюджет муниципального образования j-м плательщиком в базовом году (</w:t>
      </w:r>
      <w:proofErr w:type="spellStart"/>
      <w:r>
        <w:rPr>
          <w:spacing w:val="2"/>
          <w:sz w:val="28"/>
          <w:szCs w:val="28"/>
        </w:rPr>
        <w:t>Boj</w:t>
      </w:r>
      <w:proofErr w:type="spellEnd"/>
      <w:r>
        <w:rPr>
          <w:spacing w:val="2"/>
          <w:sz w:val="28"/>
          <w:szCs w:val="28"/>
        </w:rPr>
        <w:t>), рассчитывается по формуле:</w:t>
      </w:r>
    </w:p>
    <w:p w:rsidR="00015ED9" w:rsidRDefault="00015ED9" w:rsidP="00015ED9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br/>
        <w:t>B0j = N0j + L0j,</w:t>
      </w:r>
    </w:p>
    <w:p w:rsidR="00015ED9" w:rsidRDefault="00015ED9" w:rsidP="00015ED9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br/>
        <w:t>где:</w:t>
      </w:r>
    </w:p>
    <w:p w:rsidR="00015ED9" w:rsidRDefault="00015ED9" w:rsidP="00015ED9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br/>
        <w:t>N0j - объем налогов, задекларированных для уплаты в бюджет муниципального образования j-м плательщиком в базовом году;</w:t>
      </w:r>
    </w:p>
    <w:p w:rsidR="00015ED9" w:rsidRDefault="00015ED9" w:rsidP="00015ED9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br/>
        <w:t>L0j - объем льгот, предоставленных j-</w:t>
      </w:r>
      <w:proofErr w:type="spellStart"/>
      <w:r>
        <w:rPr>
          <w:spacing w:val="2"/>
          <w:sz w:val="28"/>
          <w:szCs w:val="28"/>
        </w:rPr>
        <w:t>му</w:t>
      </w:r>
      <w:proofErr w:type="spellEnd"/>
      <w:r>
        <w:rPr>
          <w:spacing w:val="2"/>
          <w:sz w:val="28"/>
          <w:szCs w:val="28"/>
        </w:rPr>
        <w:t xml:space="preserve"> плательщику в базовом году.</w:t>
      </w:r>
    </w:p>
    <w:p w:rsidR="00015ED9" w:rsidRDefault="00015ED9" w:rsidP="00015ED9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br/>
        <w:t xml:space="preserve">           Под базовым годом понимается год, предшествующий году начала получения j-м плательщиком льготы, либо 6-й год, предшествующий отчетному году, если льгота предоставляется плательщику более 6 лет.</w:t>
      </w:r>
    </w:p>
    <w:p w:rsidR="00015ED9" w:rsidRDefault="00015ED9" w:rsidP="00015ED9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В случае, если совокупный бюджетный эффект (</w:t>
      </w:r>
      <w:r>
        <w:rPr>
          <w:spacing w:val="2"/>
          <w:sz w:val="28"/>
          <w:szCs w:val="28"/>
          <w:lang w:val="en-US"/>
        </w:rPr>
        <w:t>E</w:t>
      </w:r>
      <w:r>
        <w:rPr>
          <w:spacing w:val="2"/>
          <w:sz w:val="28"/>
          <w:szCs w:val="28"/>
        </w:rPr>
        <w:t>) принимает отрицательное значение налоговая льгота считается неэффективной.</w:t>
      </w:r>
    </w:p>
    <w:p w:rsidR="00015ED9" w:rsidRDefault="00015ED9" w:rsidP="00015ED9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Оценка бюджетной эффективности налоговых расходов не рассчитывается для некоммерческих организаций и физических лиц.</w:t>
      </w:r>
    </w:p>
    <w:p w:rsidR="00015ED9" w:rsidRDefault="00015ED9" w:rsidP="00015ED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2.8. По итогам оценки эффективности финансовое управление формирует вывод о необходимости сохранения, уточнения или отмене налоговых льгот, обуславливающих налоговые расходы. </w:t>
      </w:r>
    </w:p>
    <w:p w:rsidR="00015ED9" w:rsidRDefault="00015ED9" w:rsidP="00015ED9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highlight w:val="yellow"/>
        </w:rPr>
      </w:pPr>
    </w:p>
    <w:p w:rsidR="00015ED9" w:rsidRPr="00EB5429" w:rsidRDefault="00015ED9" w:rsidP="00015ED9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 w:cs="Arial"/>
          <w:bCs/>
          <w:sz w:val="28"/>
          <w:szCs w:val="28"/>
        </w:rPr>
      </w:pPr>
      <w:r w:rsidRPr="00EB5429">
        <w:rPr>
          <w:rFonts w:ascii="PT Astra Serif" w:hAnsi="PT Astra Serif" w:cs="Arial"/>
          <w:bCs/>
          <w:sz w:val="28"/>
          <w:szCs w:val="28"/>
        </w:rPr>
        <w:t>III. Отчет по результатам проведения оценки</w:t>
      </w:r>
    </w:p>
    <w:p w:rsidR="00015ED9" w:rsidRPr="00EB5429" w:rsidRDefault="00015ED9" w:rsidP="00015ED9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 w:cs="Arial"/>
          <w:bCs/>
          <w:sz w:val="28"/>
          <w:szCs w:val="28"/>
        </w:rPr>
      </w:pPr>
      <w:r w:rsidRPr="00EB5429">
        <w:rPr>
          <w:rFonts w:ascii="PT Astra Serif" w:hAnsi="PT Astra Serif" w:cs="Arial"/>
          <w:bCs/>
          <w:sz w:val="28"/>
          <w:szCs w:val="28"/>
        </w:rPr>
        <w:t>эффективности налоговых расходов</w:t>
      </w:r>
    </w:p>
    <w:p w:rsidR="00015ED9" w:rsidRDefault="00015ED9" w:rsidP="00015ED9">
      <w:pPr>
        <w:widowControl w:val="0"/>
        <w:autoSpaceDE w:val="0"/>
        <w:autoSpaceDN w:val="0"/>
        <w:adjustRightInd w:val="0"/>
        <w:ind w:firstLine="709"/>
        <w:rPr>
          <w:rFonts w:ascii="PT Astra Serif" w:hAnsi="PT Astra Serif" w:cs="Arial"/>
          <w:sz w:val="28"/>
          <w:szCs w:val="28"/>
        </w:rPr>
      </w:pPr>
    </w:p>
    <w:p w:rsidR="00015ED9" w:rsidRDefault="00015ED9" w:rsidP="00015ED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3.1. При оценке эффективности налоговых расходов производится инвентаризация предоставленных налоговых льгот, по результатам которой составляется реестр предоставленных налоговых льгот в соответствии с принятыми нормативными правовыми актами представительного органа Собинского муниципального округа Владимирской области. </w:t>
      </w:r>
    </w:p>
    <w:p w:rsidR="00015ED9" w:rsidRDefault="00015ED9" w:rsidP="00015ED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3.2. Финансовое управление в срок до 1 февраля текущего финансового года направляет в Управление Федеральной налоговой службы по Владимирской области информацию о целевых и нормативных характеристиках налоговых расходов, включающих сведения о категориях плательщиков с указанием обусловливающих соответствующие налоговые расходы действовавших в отчетном году и в году, предшествующему отчетному году.</w:t>
      </w:r>
    </w:p>
    <w:p w:rsidR="00015ED9" w:rsidRDefault="00015ED9" w:rsidP="00015ED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3.3. Финансовое управление до 25 мая текущего года проводит оценку эффективности налоговых расходов по представленным Управлением </w:t>
      </w:r>
      <w:r>
        <w:rPr>
          <w:rFonts w:ascii="PT Astra Serif" w:hAnsi="PT Astra Serif" w:cs="Arial"/>
          <w:sz w:val="28"/>
          <w:szCs w:val="28"/>
        </w:rPr>
        <w:lastRenderedPageBreak/>
        <w:t>Федеральной налоговой службы по Владимирской области до 1 апреля сведениям, за год, предшествующий отчетному году, а также уточненным данным за иные отчетные периоды с учетом информации по налоговым декларациям по состоянию на 1 марта финансового года, содержащим:</w:t>
      </w:r>
    </w:p>
    <w:p w:rsidR="00015ED9" w:rsidRDefault="00015ED9" w:rsidP="00015ED9">
      <w:pPr>
        <w:ind w:firstLine="709"/>
        <w:jc w:val="both"/>
        <w:rPr>
          <w:spacing w:val="2"/>
          <w:sz w:val="28"/>
          <w:szCs w:val="28"/>
        </w:rPr>
      </w:pPr>
      <w:r>
        <w:rPr>
          <w:sz w:val="28"/>
          <w:szCs w:val="28"/>
        </w:rPr>
        <w:t>— сведения о количестве плательщиков, воспользовавшихся льготами</w:t>
      </w:r>
      <w:r>
        <w:rPr>
          <w:spacing w:val="2"/>
          <w:sz w:val="28"/>
          <w:szCs w:val="28"/>
        </w:rPr>
        <w:t>;</w:t>
      </w:r>
    </w:p>
    <w:p w:rsidR="00015ED9" w:rsidRDefault="00015ED9" w:rsidP="00015ED9">
      <w:pPr>
        <w:ind w:firstLine="709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— суммы выпадающих доходов местного бюджета по каждому налоговому расходу Собинского муниципального округа;</w:t>
      </w:r>
    </w:p>
    <w:p w:rsidR="00015ED9" w:rsidRDefault="00015ED9" w:rsidP="00015ED9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— объемы налогов, задекларированных для уплаты плательщиками в местный бюджет по каждому налоговому расходу Собинского муниципального округа, в отношении стимулирующих налоговых расходов.</w:t>
      </w:r>
    </w:p>
    <w:p w:rsidR="00015ED9" w:rsidRDefault="00015ED9" w:rsidP="00015ED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3.4. Финансовое управление до 1 августа текущего года проводит оценку эффективности налоговых расходов по представленной Управлением Федеральной налоговой службы по Владимирской области до 20 июля информации об объемах налоговых льгот за отчетный финансовый год, а также по стимулирующим налоговым расходам о налогах, задекларированных для уплаты плательщиками, имеющими право на льготы в отчетном году. </w:t>
      </w:r>
    </w:p>
    <w:p w:rsidR="00015ED9" w:rsidRDefault="00015ED9" w:rsidP="00015ED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3.5. По результатам проведения оценки эффективности налоговых расходов финансовое управление формирует обобщенную информацию об оценке эффективности налоговых расходов, которая содержит следующие сведения:</w:t>
      </w:r>
    </w:p>
    <w:p w:rsidR="00015ED9" w:rsidRDefault="00015ED9" w:rsidP="00015ED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- перечень предоставленных на территории </w:t>
      </w:r>
      <w:r w:rsidR="00644820">
        <w:rPr>
          <w:rFonts w:ascii="PT Astra Serif" w:hAnsi="PT Astra Serif" w:cs="Arial"/>
          <w:sz w:val="28"/>
          <w:szCs w:val="28"/>
        </w:rPr>
        <w:t>Собинского</w:t>
      </w:r>
      <w:r>
        <w:rPr>
          <w:rFonts w:ascii="PT Astra Serif" w:hAnsi="PT Astra Serif" w:cs="Arial"/>
          <w:sz w:val="28"/>
          <w:szCs w:val="28"/>
        </w:rPr>
        <w:t xml:space="preserve"> муниципального округа Владимирской области налоговых льгот по местным налогам;</w:t>
      </w:r>
    </w:p>
    <w:p w:rsidR="00015ED9" w:rsidRDefault="00015ED9" w:rsidP="00015ED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- информацию о потерях бюджета </w:t>
      </w:r>
      <w:r w:rsidR="00644820">
        <w:rPr>
          <w:rFonts w:ascii="PT Astra Serif" w:hAnsi="PT Astra Serif" w:cs="Arial"/>
          <w:sz w:val="28"/>
          <w:szCs w:val="28"/>
        </w:rPr>
        <w:t>Собинского</w:t>
      </w:r>
      <w:r>
        <w:rPr>
          <w:rFonts w:ascii="PT Astra Serif" w:hAnsi="PT Astra Serif" w:cs="Arial"/>
          <w:sz w:val="28"/>
          <w:szCs w:val="28"/>
        </w:rPr>
        <w:t xml:space="preserve"> муниципального округа, связанных с предоставлением налоговых льгот;</w:t>
      </w:r>
    </w:p>
    <w:p w:rsidR="00015ED9" w:rsidRDefault="00015ED9" w:rsidP="00015ED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- сведений о бюджетной и социальной эффективности действующих налоговых расходов;</w:t>
      </w:r>
    </w:p>
    <w:p w:rsidR="00015ED9" w:rsidRDefault="00015ED9" w:rsidP="00015ED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- предложения, направленные на сохранение или корректировку (отмену) неэффективных налоговых расходов.</w:t>
      </w:r>
    </w:p>
    <w:p w:rsidR="00015ED9" w:rsidRDefault="00015ED9" w:rsidP="00015ED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3.6. Информация об оценке эффективности предоставляемых налоговых расходов по местным налогам направляется главе администрации </w:t>
      </w:r>
      <w:r w:rsidR="00644820">
        <w:rPr>
          <w:rFonts w:ascii="PT Astra Serif" w:hAnsi="PT Astra Serif" w:cs="Arial"/>
          <w:sz w:val="28"/>
          <w:szCs w:val="28"/>
        </w:rPr>
        <w:t>Собинского</w:t>
      </w:r>
      <w:r>
        <w:rPr>
          <w:rFonts w:ascii="PT Astra Serif" w:hAnsi="PT Astra Serif" w:cs="Arial"/>
          <w:sz w:val="28"/>
          <w:szCs w:val="28"/>
        </w:rPr>
        <w:t xml:space="preserve"> муниципального округа в срок до 8 августа текущего года по итогам за прошедший финансовый год.</w:t>
      </w:r>
    </w:p>
    <w:p w:rsidR="00015ED9" w:rsidRDefault="00015ED9" w:rsidP="00015ED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3.7. Результаты проведения оценки эффективности налоговых расходов по местным налогам размещаются на официальном сайте администрации </w:t>
      </w:r>
      <w:r w:rsidR="00644820">
        <w:rPr>
          <w:rFonts w:ascii="PT Astra Serif" w:hAnsi="PT Astra Serif" w:cs="Arial"/>
          <w:sz w:val="28"/>
          <w:szCs w:val="28"/>
        </w:rPr>
        <w:t>Собинского муниципального</w:t>
      </w:r>
      <w:r>
        <w:rPr>
          <w:rFonts w:ascii="PT Astra Serif" w:hAnsi="PT Astra Serif" w:cs="Arial"/>
          <w:sz w:val="28"/>
          <w:szCs w:val="28"/>
        </w:rPr>
        <w:t xml:space="preserve"> округа в пределах информационного ресурса финансового управления.</w:t>
      </w:r>
    </w:p>
    <w:p w:rsidR="00015ED9" w:rsidRDefault="00015ED9" w:rsidP="00015ED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3.8. Если по итогам рассмотрения результатов проведения оценки эффективности налоговых расходов главой администрации </w:t>
      </w:r>
      <w:r w:rsidR="00644820">
        <w:rPr>
          <w:rFonts w:ascii="PT Astra Serif" w:hAnsi="PT Astra Serif" w:cs="Arial"/>
          <w:sz w:val="28"/>
          <w:szCs w:val="28"/>
        </w:rPr>
        <w:t>Собинского</w:t>
      </w:r>
      <w:r>
        <w:rPr>
          <w:rFonts w:ascii="PT Astra Serif" w:hAnsi="PT Astra Serif" w:cs="Arial"/>
          <w:sz w:val="28"/>
          <w:szCs w:val="28"/>
        </w:rPr>
        <w:t xml:space="preserve"> муниципального округа принимается решение о целесообразности отмены или корректировки налоговых расходов, финансовым управлением готовится проект соответствующего муниципального правового акта </w:t>
      </w:r>
      <w:r w:rsidR="00644820">
        <w:rPr>
          <w:rFonts w:ascii="PT Astra Serif" w:hAnsi="PT Astra Serif" w:cs="Arial"/>
          <w:sz w:val="28"/>
          <w:szCs w:val="28"/>
        </w:rPr>
        <w:t>Собинского</w:t>
      </w:r>
      <w:r>
        <w:rPr>
          <w:rFonts w:ascii="PT Astra Serif" w:hAnsi="PT Astra Serif" w:cs="Arial"/>
          <w:sz w:val="28"/>
          <w:szCs w:val="28"/>
        </w:rPr>
        <w:t xml:space="preserve"> муниципального округа.</w:t>
      </w:r>
    </w:p>
    <w:p w:rsidR="00015ED9" w:rsidRDefault="00015ED9" w:rsidP="00015ED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 </w:t>
      </w:r>
    </w:p>
    <w:p w:rsidR="00015ED9" w:rsidRDefault="00015ED9" w:rsidP="00015ED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  <w:highlight w:val="yellow"/>
        </w:rPr>
      </w:pPr>
    </w:p>
    <w:p w:rsidR="00015ED9" w:rsidRDefault="00015ED9" w:rsidP="00015ED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  <w:highlight w:val="yellow"/>
        </w:rPr>
      </w:pPr>
    </w:p>
    <w:p w:rsidR="007E00A8" w:rsidRDefault="007E00A8" w:rsidP="00876843">
      <w:pPr>
        <w:jc w:val="both"/>
      </w:pPr>
    </w:p>
    <w:sectPr w:rsidR="007E00A8" w:rsidSect="00EB5429">
      <w:pgSz w:w="11906" w:h="16838"/>
      <w:pgMar w:top="1134" w:right="567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592D0C"/>
    <w:multiLevelType w:val="singleLevel"/>
    <w:tmpl w:val="E37233C2"/>
    <w:lvl w:ilvl="0">
      <w:start w:val="8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" w15:restartNumberingAfterBreak="0">
    <w:nsid w:val="65FE0FDF"/>
    <w:multiLevelType w:val="hybridMultilevel"/>
    <w:tmpl w:val="420290EE"/>
    <w:lvl w:ilvl="0" w:tplc="7B8AD1C6">
      <w:start w:val="1"/>
      <w:numFmt w:val="decimal"/>
      <w:lvlText w:val="%1."/>
      <w:lvlJc w:val="left"/>
      <w:pPr>
        <w:tabs>
          <w:tab w:val="num" w:pos="1864"/>
        </w:tabs>
        <w:ind w:left="1864" w:hanging="115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6EC41BEB"/>
    <w:multiLevelType w:val="hybridMultilevel"/>
    <w:tmpl w:val="D40A04BC"/>
    <w:lvl w:ilvl="0" w:tplc="DABACAE2">
      <w:start w:val="1"/>
      <w:numFmt w:val="decimal"/>
      <w:lvlText w:val="%1."/>
      <w:lvlJc w:val="left"/>
      <w:pPr>
        <w:tabs>
          <w:tab w:val="num" w:pos="2066"/>
        </w:tabs>
        <w:ind w:left="2066" w:hanging="1215"/>
      </w:pPr>
      <w:rPr>
        <w:rFonts w:ascii="PT Astra Serif" w:eastAsia="Times New Roman" w:hAnsi="PT Astra Serif" w:cs="Times New Roman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" w15:restartNumberingAfterBreak="0">
    <w:nsid w:val="72044169"/>
    <w:multiLevelType w:val="singleLevel"/>
    <w:tmpl w:val="427849C8"/>
    <w:lvl w:ilvl="0">
      <w:start w:val="1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 w15:restartNumberingAfterBreak="0">
    <w:nsid w:val="791E4C66"/>
    <w:multiLevelType w:val="hybridMultilevel"/>
    <w:tmpl w:val="17CC596C"/>
    <w:lvl w:ilvl="0" w:tplc="C73CE3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8" w:dllVersion="513" w:checkStyle="1"/>
  <w:activeWritingStyle w:appName="MSWord" w:lang="ru-RU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26935"/>
    <w:rsid w:val="00004F10"/>
    <w:rsid w:val="00014B3F"/>
    <w:rsid w:val="00014F71"/>
    <w:rsid w:val="00015ED9"/>
    <w:rsid w:val="00040180"/>
    <w:rsid w:val="00044551"/>
    <w:rsid w:val="0008472E"/>
    <w:rsid w:val="000D7212"/>
    <w:rsid w:val="001023FF"/>
    <w:rsid w:val="001347A3"/>
    <w:rsid w:val="001531EA"/>
    <w:rsid w:val="0016358F"/>
    <w:rsid w:val="00163E6D"/>
    <w:rsid w:val="00194205"/>
    <w:rsid w:val="001A1549"/>
    <w:rsid w:val="001A21D0"/>
    <w:rsid w:val="001B1DAA"/>
    <w:rsid w:val="001C1282"/>
    <w:rsid w:val="001C4BBB"/>
    <w:rsid w:val="001F3E75"/>
    <w:rsid w:val="00206CC9"/>
    <w:rsid w:val="00207840"/>
    <w:rsid w:val="00214241"/>
    <w:rsid w:val="002205BA"/>
    <w:rsid w:val="002247DA"/>
    <w:rsid w:val="00235D23"/>
    <w:rsid w:val="00264CC1"/>
    <w:rsid w:val="002779E3"/>
    <w:rsid w:val="002958E8"/>
    <w:rsid w:val="002968B4"/>
    <w:rsid w:val="002A3FB2"/>
    <w:rsid w:val="002A6591"/>
    <w:rsid w:val="002C7340"/>
    <w:rsid w:val="002D79DA"/>
    <w:rsid w:val="002F5AA7"/>
    <w:rsid w:val="002F5C7B"/>
    <w:rsid w:val="0031028F"/>
    <w:rsid w:val="00311940"/>
    <w:rsid w:val="0031231C"/>
    <w:rsid w:val="00336A96"/>
    <w:rsid w:val="00347664"/>
    <w:rsid w:val="0035391F"/>
    <w:rsid w:val="003576BB"/>
    <w:rsid w:val="00357A11"/>
    <w:rsid w:val="0039201C"/>
    <w:rsid w:val="0039624C"/>
    <w:rsid w:val="003A4D79"/>
    <w:rsid w:val="003D618D"/>
    <w:rsid w:val="003F490F"/>
    <w:rsid w:val="00414D8C"/>
    <w:rsid w:val="00425358"/>
    <w:rsid w:val="00444830"/>
    <w:rsid w:val="00482078"/>
    <w:rsid w:val="00484346"/>
    <w:rsid w:val="00496CD0"/>
    <w:rsid w:val="0050191D"/>
    <w:rsid w:val="005313F8"/>
    <w:rsid w:val="005513DE"/>
    <w:rsid w:val="00553C01"/>
    <w:rsid w:val="00570335"/>
    <w:rsid w:val="00582F75"/>
    <w:rsid w:val="005C64CE"/>
    <w:rsid w:val="005C69A6"/>
    <w:rsid w:val="005D695C"/>
    <w:rsid w:val="005E69E1"/>
    <w:rsid w:val="00605F60"/>
    <w:rsid w:val="00622ADF"/>
    <w:rsid w:val="00626935"/>
    <w:rsid w:val="00644820"/>
    <w:rsid w:val="00647011"/>
    <w:rsid w:val="006A61C4"/>
    <w:rsid w:val="006A7D54"/>
    <w:rsid w:val="006D52E4"/>
    <w:rsid w:val="00703CE6"/>
    <w:rsid w:val="00756515"/>
    <w:rsid w:val="00763519"/>
    <w:rsid w:val="00771048"/>
    <w:rsid w:val="00773327"/>
    <w:rsid w:val="00794ABE"/>
    <w:rsid w:val="007A6478"/>
    <w:rsid w:val="007B01E9"/>
    <w:rsid w:val="007E00A8"/>
    <w:rsid w:val="007E0B64"/>
    <w:rsid w:val="00807291"/>
    <w:rsid w:val="00810050"/>
    <w:rsid w:val="00823232"/>
    <w:rsid w:val="00823AD5"/>
    <w:rsid w:val="008620CB"/>
    <w:rsid w:val="008709B2"/>
    <w:rsid w:val="00873017"/>
    <w:rsid w:val="00876843"/>
    <w:rsid w:val="00883CB1"/>
    <w:rsid w:val="0089259A"/>
    <w:rsid w:val="008A21CB"/>
    <w:rsid w:val="008B7179"/>
    <w:rsid w:val="008C0A15"/>
    <w:rsid w:val="008C5D4D"/>
    <w:rsid w:val="008D7478"/>
    <w:rsid w:val="008E01E8"/>
    <w:rsid w:val="008E3AE5"/>
    <w:rsid w:val="008F74EB"/>
    <w:rsid w:val="00900EB4"/>
    <w:rsid w:val="009056C5"/>
    <w:rsid w:val="00923663"/>
    <w:rsid w:val="0092517C"/>
    <w:rsid w:val="00940E79"/>
    <w:rsid w:val="009528B9"/>
    <w:rsid w:val="00961348"/>
    <w:rsid w:val="00961CA3"/>
    <w:rsid w:val="009633CE"/>
    <w:rsid w:val="0098337D"/>
    <w:rsid w:val="00987601"/>
    <w:rsid w:val="00995799"/>
    <w:rsid w:val="00996722"/>
    <w:rsid w:val="009B4711"/>
    <w:rsid w:val="009B55E1"/>
    <w:rsid w:val="009B631B"/>
    <w:rsid w:val="009F5E39"/>
    <w:rsid w:val="00A02493"/>
    <w:rsid w:val="00A07661"/>
    <w:rsid w:val="00A14F83"/>
    <w:rsid w:val="00A20173"/>
    <w:rsid w:val="00A20780"/>
    <w:rsid w:val="00A35D6A"/>
    <w:rsid w:val="00A423A3"/>
    <w:rsid w:val="00A604FC"/>
    <w:rsid w:val="00AD3E7C"/>
    <w:rsid w:val="00AD73E2"/>
    <w:rsid w:val="00AE3BB9"/>
    <w:rsid w:val="00B329AF"/>
    <w:rsid w:val="00B32D19"/>
    <w:rsid w:val="00B650D9"/>
    <w:rsid w:val="00B66E38"/>
    <w:rsid w:val="00BC2821"/>
    <w:rsid w:val="00BD63D9"/>
    <w:rsid w:val="00C23C4F"/>
    <w:rsid w:val="00C41254"/>
    <w:rsid w:val="00C64AC2"/>
    <w:rsid w:val="00C6601E"/>
    <w:rsid w:val="00C71325"/>
    <w:rsid w:val="00C7358C"/>
    <w:rsid w:val="00C753D6"/>
    <w:rsid w:val="00C941F4"/>
    <w:rsid w:val="00CC2281"/>
    <w:rsid w:val="00CD0167"/>
    <w:rsid w:val="00CD14B9"/>
    <w:rsid w:val="00D35E07"/>
    <w:rsid w:val="00D47A72"/>
    <w:rsid w:val="00D54250"/>
    <w:rsid w:val="00D60A75"/>
    <w:rsid w:val="00D63524"/>
    <w:rsid w:val="00D70BF2"/>
    <w:rsid w:val="00D7437E"/>
    <w:rsid w:val="00D85453"/>
    <w:rsid w:val="00D91B01"/>
    <w:rsid w:val="00D94B96"/>
    <w:rsid w:val="00DA020C"/>
    <w:rsid w:val="00DA2D3E"/>
    <w:rsid w:val="00DA73D2"/>
    <w:rsid w:val="00DB6D14"/>
    <w:rsid w:val="00E16F92"/>
    <w:rsid w:val="00E21795"/>
    <w:rsid w:val="00E5003F"/>
    <w:rsid w:val="00EB4A56"/>
    <w:rsid w:val="00EB5429"/>
    <w:rsid w:val="00ED438B"/>
    <w:rsid w:val="00ED4818"/>
    <w:rsid w:val="00EF18A9"/>
    <w:rsid w:val="00F0056F"/>
    <w:rsid w:val="00F16CE9"/>
    <w:rsid w:val="00F35151"/>
    <w:rsid w:val="00F6534D"/>
    <w:rsid w:val="00F65D43"/>
    <w:rsid w:val="00F776A3"/>
    <w:rsid w:val="00F96437"/>
    <w:rsid w:val="00FA67A7"/>
    <w:rsid w:val="00FB2497"/>
    <w:rsid w:val="00FB5F70"/>
    <w:rsid w:val="00FC147A"/>
    <w:rsid w:val="00FC4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3F37675-D757-423E-9221-2B4955F05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  <w:lang w:val="en-US"/>
    </w:rPr>
  </w:style>
  <w:style w:type="paragraph" w:styleId="3">
    <w:name w:val="heading 3"/>
    <w:basedOn w:val="a"/>
    <w:next w:val="a"/>
    <w:qFormat/>
    <w:pPr>
      <w:keepNext/>
      <w:ind w:firstLine="709"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  <w:lang w:val="en-US"/>
    </w:rPr>
  </w:style>
  <w:style w:type="paragraph" w:styleId="5">
    <w:name w:val="heading 5"/>
    <w:basedOn w:val="a"/>
    <w:next w:val="a"/>
    <w:qFormat/>
    <w:pPr>
      <w:keepNext/>
      <w:jc w:val="right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sz w:val="25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Название"/>
    <w:basedOn w:val="a"/>
    <w:qFormat/>
    <w:pPr>
      <w:spacing w:line="360" w:lineRule="auto"/>
      <w:jc w:val="center"/>
    </w:pPr>
    <w:rPr>
      <w:sz w:val="28"/>
    </w:rPr>
  </w:style>
  <w:style w:type="paragraph" w:styleId="a4">
    <w:name w:val="Body Text"/>
    <w:basedOn w:val="a"/>
    <w:rPr>
      <w:sz w:val="28"/>
    </w:rPr>
  </w:style>
  <w:style w:type="paragraph" w:styleId="a5">
    <w:name w:val="Body Text Indent"/>
    <w:basedOn w:val="a"/>
    <w:pPr>
      <w:ind w:firstLine="567"/>
      <w:jc w:val="both"/>
    </w:pPr>
    <w:rPr>
      <w:sz w:val="28"/>
    </w:rPr>
  </w:style>
  <w:style w:type="paragraph" w:styleId="a6">
    <w:name w:val="caption"/>
    <w:basedOn w:val="a"/>
    <w:next w:val="a"/>
    <w:qFormat/>
    <w:pPr>
      <w:ind w:firstLine="709"/>
      <w:jc w:val="both"/>
    </w:pPr>
    <w:rPr>
      <w:sz w:val="28"/>
    </w:rPr>
  </w:style>
  <w:style w:type="paragraph" w:styleId="20">
    <w:name w:val="Body Text Indent 2"/>
    <w:basedOn w:val="a"/>
    <w:pPr>
      <w:ind w:firstLine="709"/>
      <w:jc w:val="both"/>
    </w:pPr>
    <w:rPr>
      <w:sz w:val="28"/>
    </w:rPr>
  </w:style>
  <w:style w:type="paragraph" w:customStyle="1" w:styleId="ConsPlusNormal">
    <w:name w:val="ConsPlusNormal"/>
    <w:rsid w:val="00622AD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rsid w:val="004253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626935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Balloon Text"/>
    <w:basedOn w:val="a"/>
    <w:semiHidden/>
    <w:rsid w:val="00DA2D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&#1055;&#1088;&#1080;&#1082;&#1072;&#1079;&#1099;%20&#1060;&#1059;\&#1092;&#1086;&#1088;&#1084;&#1072;%20&#1055;&#1056;&#1048;&#1050;&#1040;&#1047;&#1040;%20&#1092;&#1080;&#1085;&#1091;&#1087;&#1088;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форма ПРИКАЗА финупр.</Template>
  <TotalTime>0</TotalTime>
  <Pages>6</Pages>
  <Words>1929</Words>
  <Characters>10999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ГФУ</Company>
  <LinksUpToDate>false</LinksUpToDate>
  <CharactersWithSpaces>12903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Semenova_E</dc:creator>
  <cp:keywords/>
  <cp:lastModifiedBy>RePack by Diakov</cp:lastModifiedBy>
  <cp:revision>2</cp:revision>
  <cp:lastPrinted>2026-03-17T11:49:00Z</cp:lastPrinted>
  <dcterms:created xsi:type="dcterms:W3CDTF">2026-04-03T11:19:00Z</dcterms:created>
  <dcterms:modified xsi:type="dcterms:W3CDTF">2026-04-03T11:19:00Z</dcterms:modified>
</cp:coreProperties>
</file>